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03D0D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1"/>
      <w:bookmarkStart w:id="1" w:name="OLE_LINK12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14bis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503770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6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>Wuhan, Hubei, China, 07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 xml:space="preserve"> – 11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vertAlign w:val="superscript"/>
          <w:lang w:eastAsia="zh-CN"/>
        </w:rPr>
        <w:t>th</w:t>
      </w:r>
      <w:r>
        <w:rPr>
          <w:rFonts w:hint="default" w:ascii="Times New Roman" w:hAnsi="Times New Roman" w:eastAsia="宋体" w:cs="Times New Roman"/>
          <w:b/>
          <w:sz w:val="24"/>
          <w:szCs w:val="24"/>
          <w:highlight w:val="none"/>
          <w:lang w:eastAsia="zh-CN"/>
        </w:rPr>
        <w:t xml:space="preserve"> April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 2025</w:t>
      </w:r>
    </w:p>
    <w:p w14:paraId="607309BB">
      <w:pPr>
        <w:tabs>
          <w:tab w:val="left" w:pos="1985"/>
        </w:tabs>
        <w:rPr>
          <w:rFonts w:ascii="Times New Roman" w:hAnsi="Times New Roman"/>
          <w:b/>
          <w:sz w:val="22"/>
          <w:highlight w:val="cyan"/>
        </w:rPr>
      </w:pPr>
    </w:p>
    <w:p w14:paraId="51C17403">
      <w:pPr>
        <w:tabs>
          <w:tab w:val="left" w:pos="1765"/>
        </w:tabs>
        <w:rPr>
          <w:rFonts w:hint="eastAsia" w:ascii="Times New Roman" w:hAnsi="Times New Roman" w:eastAsia="宋体"/>
          <w:b/>
          <w:sz w:val="22"/>
          <w:highlight w:val="none"/>
          <w:lang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19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</w:t>
      </w:r>
    </w:p>
    <w:p w14:paraId="6DDA7F48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7D51C53E">
      <w:pPr>
        <w:rPr>
          <w:rFonts w:hint="default" w:ascii="Times New Roman" w:hAnsi="Times New Roman" w:eastAsia="宋体"/>
          <w:sz w:val="22"/>
          <w:lang w:val="en-US" w:eastAsia="zh-CN"/>
        </w:rPr>
      </w:pPr>
      <w:r>
        <w:rPr>
          <w:rFonts w:ascii="Times New Roman" w:hAnsi="Times New Roman"/>
          <w:b/>
          <w:sz w:val="22"/>
        </w:rPr>
        <w:t xml:space="preserve">Title: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 xml:space="preserve"> </w:t>
      </w:r>
      <w:bookmarkStart w:id="2" w:name="OLE_LINK23"/>
      <w:bookmarkStart w:id="3" w:name="OLE_LINK24"/>
      <w:bookmarkStart w:id="4" w:name="OLE_LINK7"/>
      <w:bookmarkStart w:id="5" w:name="OLE_LINK8"/>
      <w:r>
        <w:rPr>
          <w:rFonts w:ascii="Times New Roman" w:hAnsi="Times New Roman"/>
          <w:sz w:val="22"/>
        </w:rPr>
        <w:t>D</w:t>
      </w:r>
      <w:r>
        <w:rPr>
          <w:rFonts w:hint="eastAsia" w:ascii="Times New Roman" w:hAnsi="Times New Roman"/>
          <w:sz w:val="22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lang w:val="en-US" w:eastAsia="zh-CN"/>
        </w:rPr>
        <w:t>general aspects</w:t>
      </w:r>
    </w:p>
    <w:bookmarkEnd w:id="4"/>
    <w:bookmarkEnd w:id="5"/>
    <w:p w14:paraId="79129823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BBCD1C8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2B446007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102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[1]. 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106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>ID on Artificial Intelligence (AI)/Machine Learning (ML) for NR Air Interface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The objectives for RAN4 are duplicated as following.</w:t>
      </w:r>
    </w:p>
    <w:tbl>
      <w:tblPr>
        <w:tblStyle w:val="7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67741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0" w:type="dxa"/>
            <w:noWrap w:val="0"/>
            <w:vAlign w:val="top"/>
          </w:tcPr>
          <w:p w14:paraId="56C0ACA8">
            <w:pPr>
              <w:numPr>
                <w:ilvl w:val="0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 xml:space="preserve">Core requirements for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the above two use cases for AI/ML </w:t>
            </w: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LCM procedures and UE features [RAN4]:</w:t>
            </w:r>
          </w:p>
          <w:p w14:paraId="59DE7CF8">
            <w:pPr>
              <w:numPr>
                <w:ilvl w:val="1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RAN4 core requirements for the above three use cases. This includes the test setup and methodology for the beam management use case.</w:t>
            </w:r>
          </w:p>
          <w:p w14:paraId="7BB01FF1">
            <w:pPr>
              <w:numPr>
                <w:ilvl w:val="1"/>
                <w:numId w:val="5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</w:rPr>
              <w:t>Specify necessary RAN4 core requirements for LCM procedures including performance monitoring.</w:t>
            </w:r>
          </w:p>
          <w:p w14:paraId="6A1BC8F5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 w:line="259" w:lineRule="auto"/>
              <w:contextualSpacing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7078942">
      <w:pPr>
        <w:spacing w:before="180"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Artificial Intelligence (AI)/Machine Learning (ML) for NR Air Interface, and a WF was approved [3].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his contribution provides discussion on general aspects.</w:t>
      </w:r>
    </w:p>
    <w:p w14:paraId="34F00FB1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8"/>
        <w:tblpPr w:leftFromText="180" w:rightFromText="180" w:vertAnchor="text" w:horzAnchor="page" w:tblpX="1789" w:tblpY="-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650D8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A1B8A7A">
            <w:pPr>
              <w:spacing w:after="180" w:line="240" w:lineRule="exact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RAN2 agreements in RAN2#129</w:t>
            </w: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 </w:t>
            </w:r>
          </w:p>
          <w:p w14:paraId="7701DD6E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Agreements</w:t>
            </w:r>
          </w:p>
          <w:p w14:paraId="18DAA274">
            <w:pPr>
              <w:numPr>
                <w:ilvl w:val="0"/>
                <w:numId w:val="6"/>
              </w:numPr>
              <w:spacing w:after="180" w:line="240" w:lineRule="exact"/>
              <w:ind w:left="425" w:leftChars="0" w:hanging="425" w:firstLineChars="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Inference configuration/parameters can be signalled in step 3 and/or Inference configuration can be signalled in step 5 (i.e. option a and option b from RAN1).   </w:t>
            </w:r>
          </w:p>
          <w:p w14:paraId="3D679C1A">
            <w:pPr>
              <w:numPr>
                <w:ilvl w:val="0"/>
                <w:numId w:val="6"/>
              </w:numPr>
              <w:spacing w:after="180" w:line="240" w:lineRule="exact"/>
              <w:ind w:left="425" w:leftChars="0" w:hanging="425" w:firstLineChars="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 xml:space="preserve">The full inference configuration is sent in CSI-ReportConfig. </w:t>
            </w:r>
          </w:p>
          <w:p w14:paraId="1E96804A">
            <w:pPr>
              <w:numPr>
                <w:ilvl w:val="0"/>
                <w:numId w:val="6"/>
              </w:numPr>
              <w:spacing w:after="180" w:line="240" w:lineRule="exact"/>
              <w:ind w:left="425" w:leftChars="0" w:hanging="425" w:firstLineChars="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Upon receiving a full inference configuration, the UE sends the initial applicability report in RRCReconfigurationComplete. UAI can be sent to update applicability.</w:t>
            </w:r>
          </w:p>
          <w:p w14:paraId="6F9EB1CF">
            <w:pPr>
              <w:numPr>
                <w:ilvl w:val="0"/>
                <w:numId w:val="6"/>
              </w:numPr>
              <w:spacing w:after="180" w:line="240" w:lineRule="exact"/>
              <w:ind w:left="425" w:leftChars="0" w:hanging="425" w:firstLineChars="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  <w:t>FFS signaling details for option B (e.g. whether it is signaling in CSI-Report Config or otherconfig)</w:t>
            </w:r>
          </w:p>
          <w:p w14:paraId="06BEF049">
            <w:pPr>
              <w:pStyle w:val="16"/>
              <w:numPr>
                <w:ilvl w:val="0"/>
                <w:numId w:val="0"/>
              </w:numPr>
              <w:ind w:left="360" w:hanging="36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Agreements applicability reporting and management</w:t>
            </w:r>
          </w:p>
          <w:p w14:paraId="342B2695">
            <w:pPr>
              <w:pStyle w:val="16"/>
              <w:ind w:left="360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 xml:space="preserve">Support the explicit reporting of applicability/inapplicability in initial report and subsequent reporting it reports only applicability it changed.   FFS if we report explicit cause </w:t>
            </w:r>
          </w:p>
          <w:p w14:paraId="7AE1E310">
            <w:pPr>
              <w:pStyle w:val="16"/>
              <w:ind w:left="360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 xml:space="preserve">If option A is configured in Step 3, for periodic CSI reporting, the UE autonomously activate the applicable functionalities upon reporting applicable functionalities via RRCReconfigurationComplete in step 4 (i.e. without need to wait RRCReconfiguration in Step 5).   </w:t>
            </w:r>
          </w:p>
          <w:p w14:paraId="481489A3">
            <w:pPr>
              <w:pStyle w:val="16"/>
              <w:ind w:left="360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 xml:space="preserve">The provided periodic CSI configuration should be consistent with reported UE capabilities </w:t>
            </w:r>
          </w:p>
          <w:p w14:paraId="493263F9">
            <w:pPr>
              <w:pStyle w:val="16"/>
              <w:ind w:left="360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 xml:space="preserve">FFS option B </w:t>
            </w:r>
          </w:p>
          <w:p w14:paraId="64EB0010">
            <w:pPr>
              <w:pStyle w:val="16"/>
              <w:ind w:left="360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Semi-persistent and aperiodic CSI reporting of applicable functionality is activated following legacy CSI framework:</w:t>
            </w:r>
          </w:p>
          <w:p w14:paraId="728E64A1">
            <w:pPr>
              <w:pStyle w:val="16"/>
              <w:numPr>
                <w:ilvl w:val="0"/>
                <w:numId w:val="0"/>
              </w:numPr>
              <w:ind w:left="360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Semi-persistent reporting, activated by MAC CE/DCI</w:t>
            </w:r>
          </w:p>
          <w:p w14:paraId="1C59312F">
            <w:pPr>
              <w:pStyle w:val="16"/>
              <w:numPr>
                <w:ilvl w:val="0"/>
                <w:numId w:val="0"/>
              </w:numPr>
              <w:ind w:left="360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  <w:t>Aperiodic CSI reporting, activated by DCI</w:t>
            </w:r>
          </w:p>
        </w:tc>
      </w:tr>
    </w:tbl>
    <w:p w14:paraId="1C222636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23C305BC">
      <w:pPr>
        <w:spacing w:after="180" w:line="240" w:lineRule="exact"/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It can be seen that how applicable functionalities is activated is different for different report type. I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f option A is configured in Step 3, for periodic CSI reporting, the UE autonomously activate the applicable functionalities upon reporting applicable functionalities via RRCReconfigurationComplete in step 4 (i.e. without need to wait RRCReconfiguration in Step 5).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Semi-persistent and aperiodic CSI reporting of applicable functionality is activated following legacy CSI framework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. For semi-persistent CSI reporting, the applicable functionality is activated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by MAC CE/DCI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>, for aperiodic CSI reporting, the applicable functionality is activated by DCI.</w:t>
      </w:r>
    </w:p>
    <w:p w14:paraId="340A3503">
      <w:pPr>
        <w:spacing w:after="180" w:line="240" w:lineRule="exact"/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In our understanding, above RAN2 agreements are mainly for the switch from non-AI to AI. Sine there is different UE behaviour, the delay for the switch from non-AI to AI can be different, which need to be discussed case by case. For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 xml:space="preserve">periodic CSI reporting,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since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 xml:space="preserve">UE 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can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autonomously activate the applicable functionalities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, the starting point of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the delay for the switch from non-AI to AI could be that UE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report applicable functionalities via RRCReconfigurationComplete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. For </w:t>
      </w:r>
      <w:r>
        <w:rPr>
          <w:rFonts w:hint="eastAsia" w:ascii="Times New Roman" w:hAnsi="Times New Roman" w:eastAsia="等线" w:cs="Times New Roman"/>
          <w:b w:val="0"/>
          <w:b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emi-persistent and aperiodic CSI reporting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 xml:space="preserve">, the starting point of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the delay for the switch from non-AI to AI could be the point receiving activation indication by </w:t>
      </w:r>
      <w:r>
        <w:rPr>
          <w:rFonts w:hint="default" w:ascii="Times New Roman" w:hAnsi="Times New Roman" w:cs="Times New Roman"/>
          <w:b w:val="0"/>
          <w:bCs/>
          <w:sz w:val="20"/>
          <w:szCs w:val="20"/>
        </w:rPr>
        <w:t>MAC CE/DCI</w:t>
      </w:r>
      <w:r>
        <w:rPr>
          <w:rFonts w:hint="eastAsia" w:ascii="Times New Roman" w:hAnsi="Times New Roman" w:cs="Times New Roman"/>
          <w:b w:val="0"/>
          <w:bCs/>
          <w:sz w:val="20"/>
          <w:szCs w:val="20"/>
          <w:lang w:val="en-US" w:eastAsia="zh-CN"/>
        </w:rPr>
        <w:t>.</w:t>
      </w:r>
    </w:p>
    <w:p w14:paraId="3D731498">
      <w:pPr>
        <w:spacing w:after="180" w:line="240" w:lineRule="exact"/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Proposal 1: the switch delay 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>from non-AI to AI is different for different report type:</w:t>
      </w:r>
    </w:p>
    <w:p w14:paraId="08D6A756">
      <w:pPr>
        <w:numPr>
          <w:ilvl w:val="0"/>
          <w:numId w:val="7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</w:pP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for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 xml:space="preserve">periodic CSI reporting,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since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 xml:space="preserve">UE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can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autonomously activate the applicable functionalities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, the starting point of 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switch delay from non-AI to AI is that UE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report applicable functionalities via RRCReconfigurationComplete</w:t>
      </w:r>
    </w:p>
    <w:p w14:paraId="393E156D">
      <w:pPr>
        <w:numPr>
          <w:ilvl w:val="0"/>
          <w:numId w:val="7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宋体" w:cs="Times New Roman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or </w:t>
      </w:r>
      <w:r>
        <w:rPr>
          <w:rFonts w:hint="eastAsia" w:ascii="Times New Roman" w:hAnsi="Times New Roman" w:eastAsia="等线" w:cs="Times New Roman"/>
          <w:b/>
          <w:bCs w:val="0"/>
          <w:i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emi-persistent and aperiodic CSI reporting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, the starting point of 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the switch delay from non-AI to AI is the point receiving activation indication by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MAC CE/DCI</w:t>
      </w:r>
    </w:p>
    <w:p w14:paraId="1AACFFA6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297E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03F44471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RAN1 #120</w:t>
            </w:r>
          </w:p>
          <w:p w14:paraId="7A6C527F">
            <w:pPr>
              <w:ind w:left="0" w:firstLine="0"/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7FC0ABB">
            <w:pPr>
              <w:ind w:left="0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CSI prediction using UE-side model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, if performance monitoring type 1 or 3 is supported, for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calculation of monitoring metric, support </w:t>
            </w:r>
          </w:p>
          <w:p w14:paraId="1753E471">
            <w:pPr>
              <w:numPr>
                <w:ilvl w:val="0"/>
                <w:numId w:val="8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Based on intermediate KPI </w:t>
            </w:r>
          </w:p>
          <w:p w14:paraId="5FE808C4">
            <w:pPr>
              <w:numPr>
                <w:ilvl w:val="1"/>
                <w:numId w:val="8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Down select between SGCS and NMSE by RAN1#120bis</w:t>
            </w:r>
          </w:p>
          <w:p w14:paraId="0227CE02">
            <w:pPr>
              <w:numPr>
                <w:ilvl w:val="1"/>
                <w:numId w:val="8"/>
              </w:numPr>
              <w:suppressAutoHyphens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FFS on the definition of SGCS/NMSE and how to calculate monitoring metric</w:t>
            </w:r>
          </w:p>
          <w:p w14:paraId="32C42DCF">
            <w:pPr>
              <w:spacing w:after="180" w:line="240" w:lineRule="exact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  <w:p w14:paraId="12CE41D5">
            <w:pPr>
              <w:spacing w:after="180" w:line="240" w:lineRule="exact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  <w:t>TR38.843</w:t>
            </w:r>
          </w:p>
          <w:p w14:paraId="026DB06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CSI prediction using UE side model use case, at least the following aspects have been proposed by companies on performance monitoring for functionality-based LCM:</w:t>
            </w:r>
          </w:p>
          <w:p w14:paraId="66DB71D2">
            <w:pPr>
              <w:pStyle w:val="1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Type 1:</w:t>
            </w:r>
          </w:p>
          <w:p w14:paraId="6C1848FB">
            <w:pPr>
              <w:pStyle w:val="1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UE calculates the performance metric(s)</w:t>
            </w:r>
          </w:p>
          <w:p w14:paraId="3055E8EC">
            <w:pPr>
              <w:pStyle w:val="14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UE reports performance monitoring output that facilitates functionality fallback decision at the network</w:t>
            </w:r>
          </w:p>
          <w:p w14:paraId="686A4BB3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Performance monitoring output details can be further defined </w:t>
            </w:r>
          </w:p>
          <w:p w14:paraId="7E10193B">
            <w:pPr>
              <w:pStyle w:val="15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NW may configure threshold criterion to facilitate UE side performance monitoring (if needed). </w:t>
            </w:r>
          </w:p>
          <w:p w14:paraId="7E661BEF">
            <w:pPr>
              <w:pStyle w:val="14"/>
              <w:ind w:left="572" w:firstLine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NW makes decision(s) of functionality fallback operation (fallback mechanism to legacy CSI reporting).</w:t>
            </w:r>
          </w:p>
          <w:p w14:paraId="6657F430">
            <w:pPr>
              <w:pStyle w:val="1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Type 2: </w:t>
            </w:r>
          </w:p>
          <w:p w14:paraId="23451DD3">
            <w:pPr>
              <w:pStyle w:val="14"/>
              <w:ind w:left="288" w:firstLine="28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UE reports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predicted CSI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and/or the corresponding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ground-truth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3C4BF30">
            <w:pPr>
              <w:pStyle w:val="14"/>
              <w:ind w:left="288" w:firstLine="28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NW calculates the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performance metrics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7D67426">
            <w:pPr>
              <w:pStyle w:val="14"/>
              <w:ind w:left="288" w:firstLine="28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NW makes decision(s) of functionality fallback operation (fallback mechanism to legacy CSI reporting).</w:t>
            </w:r>
          </w:p>
          <w:p w14:paraId="459E6888">
            <w:pPr>
              <w:pStyle w:val="1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Type 3: </w:t>
            </w:r>
          </w:p>
          <w:p w14:paraId="6111BCC5">
            <w:pPr>
              <w:pStyle w:val="14"/>
              <w:ind w:left="288" w:firstLine="28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UE calculates the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performance metric(s)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90503DE">
            <w:pPr>
              <w:pStyle w:val="14"/>
              <w:ind w:left="288" w:firstLine="28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UE reports 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performance metric(s)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to the NW</w:t>
            </w:r>
          </w:p>
          <w:p w14:paraId="3D5FC7C3">
            <w:pPr>
              <w:pStyle w:val="14"/>
              <w:ind w:left="288" w:firstLine="288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NW makes decision(s) of functionality fallback operation (fallback mechanism to legacy CSI reporting). </w:t>
            </w:r>
          </w:p>
          <w:p w14:paraId="2E874542">
            <w:pPr>
              <w:spacing w:after="180" w:line="240" w:lineRule="exact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339DBF3E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13471E61">
      <w:pPr>
        <w:spacing w:after="180" w:line="240" w:lineRule="exact"/>
        <w:jc w:val="both"/>
        <w:rPr>
          <w:rFonts w:hint="default" w:ascii="Times New Roman" w:hAnsi="Times New Roman" w:eastAsia="等线"/>
          <w:bCs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iCs/>
          <w:sz w:val="20"/>
          <w:szCs w:val="20"/>
          <w:highlight w:val="none"/>
          <w:u w:val="none"/>
          <w:lang w:val="en-US" w:eastAsia="zh-CN"/>
        </w:rPr>
        <w:t xml:space="preserve">Inference performance is eventully performance, which is impacted not only by the AI/ML model performance but may also be impacted by other factors. While model monitoring targets to evaluate whether a model works well under a centain configuation/scenario. Inference performance is good does not mean monitoring performance is good. From this point of view, intermediate KPI, </w:t>
      </w:r>
      <w:r>
        <w:rPr>
          <w:rFonts w:hint="eastAsia" w:ascii="Times New Roman" w:hAnsi="Times New Roman" w:eastAsia="等线"/>
          <w:bCs/>
          <w:iCs/>
          <w:sz w:val="20"/>
          <w:szCs w:val="20"/>
          <w:highlight w:val="none"/>
          <w:lang w:val="en-US" w:eastAsia="zh-CN"/>
        </w:rPr>
        <w:t xml:space="preserve">at least </w:t>
      </w:r>
      <w:r>
        <w:rPr>
          <w:rFonts w:hint="default" w:ascii="Times New Roman" w:hAnsi="Times New Roman" w:eastAsia="宋体" w:cs="Times New Roman"/>
          <w:bCs/>
          <w:iCs/>
          <w:sz w:val="20"/>
          <w:szCs w:val="20"/>
          <w:highlight w:val="none"/>
          <w:lang w:val="en-US" w:eastAsia="zh-CN"/>
        </w:rPr>
        <w:t>cosine similarity</w:t>
      </w:r>
      <w:r>
        <w:rPr>
          <w:rFonts w:hint="eastAsia" w:ascii="Times New Roman" w:hAnsi="Times New Roman" w:eastAsia="宋体" w:cs="Times New Roman"/>
          <w:bCs/>
          <w:iCs/>
          <w:sz w:val="20"/>
          <w:szCs w:val="20"/>
          <w:highlight w:val="none"/>
          <w:lang w:val="en-US" w:eastAsia="zh-CN"/>
        </w:rPr>
        <w:t xml:space="preserve"> (</w:t>
      </w:r>
      <w:r>
        <w:rPr>
          <w:rFonts w:hint="eastAsia" w:ascii="Times New Roman" w:hAnsi="Times New Roman" w:eastAsia="等线"/>
          <w:bCs/>
          <w:iCs/>
          <w:sz w:val="20"/>
          <w:szCs w:val="20"/>
          <w:highlight w:val="none"/>
          <w:lang w:val="en-US" w:eastAsia="zh-CN"/>
        </w:rPr>
        <w:t>SGCS), ranging within [0, 1],</w:t>
      </w:r>
      <w:r>
        <w:rPr>
          <w:rFonts w:ascii="Times New Roman" w:hAnsi="Times New Roman" w:eastAsia="等线"/>
          <w:bCs/>
          <w:iCs/>
          <w:sz w:val="20"/>
          <w:szCs w:val="20"/>
          <w:highlight w:val="none"/>
        </w:rPr>
        <w:t xml:space="preserve"> can be considered as test metrics for </w:t>
      </w:r>
      <w:r>
        <w:rPr>
          <w:rFonts w:hint="eastAsia" w:ascii="Times New Roman" w:hAnsi="Times New Roman" w:eastAsia="等线"/>
          <w:bCs/>
          <w:iCs/>
          <w:sz w:val="20"/>
          <w:szCs w:val="20"/>
          <w:highlight w:val="none"/>
          <w:lang w:val="en-US" w:eastAsia="zh-CN"/>
        </w:rPr>
        <w:t>LCM</w:t>
      </w:r>
      <w:r>
        <w:rPr>
          <w:rFonts w:ascii="Times New Roman" w:hAnsi="Times New Roman" w:eastAsia="等线"/>
          <w:bCs/>
          <w:iCs/>
          <w:sz w:val="20"/>
          <w:szCs w:val="20"/>
          <w:highlight w:val="none"/>
        </w:rPr>
        <w:t>.</w:t>
      </w:r>
      <w:r>
        <w:rPr>
          <w:rFonts w:hint="eastAsia" w:ascii="Times New Roman" w:hAnsi="Times New Roman" w:eastAsia="等线"/>
          <w:bCs/>
          <w:iCs/>
          <w:sz w:val="20"/>
          <w:szCs w:val="20"/>
          <w:highlight w:val="none"/>
          <w:lang w:val="en-US" w:eastAsia="zh-CN"/>
        </w:rPr>
        <w:t xml:space="preserve"> RAN1 also agreed that for CSI prediction using UE-side model, if performance monitoring type 1 or 3 is supported, calculation of monitoring metric based </w:t>
      </w:r>
      <w:r>
        <w:rPr>
          <w:rFonts w:hint="default" w:ascii="Times New Roman" w:hAnsi="Times New Roman" w:cs="Times New Roman"/>
          <w:sz w:val="20"/>
          <w:szCs w:val="20"/>
          <w:lang w:eastAsia="ko-KR"/>
        </w:rPr>
        <w:t>on intermediate KPI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is supported</w:t>
      </w:r>
      <w:r>
        <w:rPr>
          <w:rFonts w:hint="eastAsia" w:ascii="Times New Roman" w:hAnsi="Times New Roman" w:eastAsia="等线"/>
          <w:bCs/>
          <w:iCs/>
          <w:sz w:val="20"/>
          <w:szCs w:val="20"/>
          <w:highlight w:val="none"/>
          <w:lang w:val="en-US" w:eastAsia="zh-CN"/>
        </w:rPr>
        <w:t xml:space="preserve"> </w:t>
      </w:r>
    </w:p>
    <w:p w14:paraId="68D5F4EA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P</w:t>
      </w:r>
      <w:r>
        <w:rPr>
          <w:rFonts w:ascii="Times New Roman" w:hAnsi="Times New Roman" w:eastAsia="等线"/>
          <w:b/>
          <w:i/>
          <w:sz w:val="20"/>
          <w:szCs w:val="20"/>
          <w:highlight w:val="none"/>
        </w:rPr>
        <w:t xml:space="preserve">roposal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2</w:t>
      </w:r>
      <w:r>
        <w:rPr>
          <w:rFonts w:ascii="Times New Roman" w:hAnsi="Times New Roman" w:eastAsia="等线"/>
          <w:b/>
          <w:i/>
          <w:sz w:val="20"/>
          <w:szCs w:val="20"/>
          <w:highlight w:val="none"/>
        </w:rPr>
        <w:t xml:space="preserve">: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for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 xml:space="preserve"> CSI prediction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 xml:space="preserve">,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 xml:space="preserve">it is proposed to use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intermediate KPI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 xml:space="preserve">, e.g. SGCS or NMSE,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 xml:space="preserve">as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requirements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/test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s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 xml:space="preserve"> metrics for LCM.</w:t>
      </w:r>
    </w:p>
    <w:p w14:paraId="7A341390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529B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5F4DD4DB">
            <w:pPr>
              <w:rPr>
                <w:rFonts w:hint="eastAsia" w:ascii="Times New Roman" w:hAnsi="Times New Roman" w:cs="Times New Roman"/>
                <w:b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0"/>
                <w:szCs w:val="20"/>
                <w:u w:val="none"/>
                <w:lang w:val="en-US" w:eastAsia="zh-CN"/>
              </w:rPr>
              <w:t>Agreements in RAN4#112bis</w:t>
            </w:r>
          </w:p>
          <w:p w14:paraId="21C799E5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none"/>
                <w:lang w:val="en-US" w:eastAsia="zh-CN"/>
              </w:rPr>
            </w:pPr>
          </w:p>
          <w:p w14:paraId="033F7CD0">
            <w:pP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Issue 1-4: AI/ML </w:t>
            </w:r>
            <w:r>
              <w:rPr>
                <w:rFonts w:hint="default" w:ascii="Times New Roman" w:hAnsi="Times New Roman" w:eastAsia="游明朝" w:cs="Times New Roman"/>
                <w:b/>
                <w:sz w:val="20"/>
                <w:szCs w:val="20"/>
                <w:u w:val="single"/>
                <w:lang w:eastAsia="ja-JP"/>
              </w:rPr>
              <w:t>Performance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4F8743DB">
            <w:pP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Agreement:</w:t>
            </w:r>
          </w:p>
          <w:p w14:paraId="585C0652">
            <w:pPr>
              <w:pStyle w:val="1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For CSI prediction, AI/ML based performance requirement should not be worse than the legacy (non-AI/ML based) if a relevant equivalent legacy requirement/feature exists.</w:t>
            </w:r>
          </w:p>
          <w:p w14:paraId="7DC99C56">
            <w:pPr>
              <w:pStyle w:val="1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FFS which legacy requirement/feature are relevant</w:t>
            </w:r>
          </w:p>
          <w:p w14:paraId="4F358496">
            <w:pPr>
              <w:pStyle w:val="1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FFS whether AI/ML based performance should be better than the legacy</w:t>
            </w:r>
          </w:p>
          <w:p w14:paraId="5067D6FE">
            <w:pPr>
              <w:pStyle w:val="10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游明朝" w:cs="Times New Roman"/>
                <w:sz w:val="20"/>
                <w:szCs w:val="20"/>
                <w:lang w:eastAsia="zh-CN"/>
              </w:rPr>
              <w:t>FFS on target for AI/ML based beam management</w:t>
            </w:r>
          </w:p>
        </w:tc>
      </w:tr>
    </w:tbl>
    <w:p w14:paraId="6E3A0B9C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366D68D4">
      <w:pPr>
        <w:spacing w:after="180" w:line="240" w:lineRule="exact"/>
        <w:rPr>
          <w:rFonts w:hint="default" w:ascii="Times New Roman" w:hAnsi="Times New Roman" w:eastAsia="游明朝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For the target for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our view is that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 requirement should not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. According to the discussion in last meeting, some companies mentioned that the 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>AI/ML based performance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 will</w:t>
      </w:r>
      <w:r>
        <w:rPr>
          <w:rFonts w:hint="default" w:ascii="Times New Roman" w:hAnsi="Times New Roman" w:eastAsia="游明朝" w:cs="Times New Roman"/>
          <w:sz w:val="20"/>
          <w:szCs w:val="20"/>
          <w:lang w:eastAsia="zh-CN"/>
        </w:rPr>
        <w:t xml:space="preserve"> be worse than the legacy</w:t>
      </w:r>
      <w:r>
        <w:rPr>
          <w:rFonts w:hint="eastAsia" w:ascii="Times New Roman" w:hAnsi="Times New Roman" w:eastAsia="游明朝" w:cs="Times New Roman"/>
          <w:sz w:val="20"/>
          <w:szCs w:val="20"/>
          <w:lang w:val="en-US" w:eastAsia="zh-CN"/>
        </w:rPr>
        <w:t xml:space="preserve">, since the gain come from overhead reduction. From operator point of view, we do not think that this is a good way to go. If the predicted results are worse than the legacy measured results, it will have impact on the network deployment, which is not preferred. </w:t>
      </w:r>
    </w:p>
    <w:p w14:paraId="0BA0F6CC">
      <w:pPr>
        <w:spacing w:after="180" w:line="240" w:lineRule="exact"/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3: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AI/ML based performance requirement should not be worse than the legacy measurement performance.    </w:t>
      </w:r>
    </w:p>
    <w:p w14:paraId="3049FDED">
      <w:pPr>
        <w:rPr>
          <w:rFonts w:ascii="Times New Roman" w:hAnsi="Times New Roman"/>
          <w:i/>
          <w:sz w:val="20"/>
          <w:szCs w:val="20"/>
        </w:rPr>
      </w:pPr>
    </w:p>
    <w:bookmarkEnd w:id="6"/>
    <w:bookmarkEnd w:id="7"/>
    <w:p w14:paraId="6B878AD1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3830C476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general aspects</w:t>
      </w:r>
      <w:r>
        <w:rPr>
          <w:rFonts w:hint="eastAsia" w:ascii="Times New Roman" w:hAnsi="Times New Roman"/>
          <w:sz w:val="20"/>
          <w:szCs w:val="20"/>
        </w:rPr>
        <w:t>. The proposals are:</w:t>
      </w:r>
    </w:p>
    <w:p w14:paraId="5BAA7B12">
      <w:pPr>
        <w:spacing w:after="180" w:line="240" w:lineRule="exact"/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Proposal 1: the switch delay 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>from non-AI to AI is different for different report type:</w:t>
      </w:r>
    </w:p>
    <w:p w14:paraId="4EB2DA12">
      <w:pPr>
        <w:numPr>
          <w:ilvl w:val="0"/>
          <w:numId w:val="7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</w:pP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for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 xml:space="preserve">periodic CSI reporting,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since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 xml:space="preserve">UE 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can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autonomously activate the applicable functionalities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, the starting point of 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switch delay from non-AI to AI is that UE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report applicable functionalities via RRCReconfigurationComplete</w:t>
      </w:r>
    </w:p>
    <w:p w14:paraId="46A328BD">
      <w:pPr>
        <w:numPr>
          <w:ilvl w:val="0"/>
          <w:numId w:val="7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宋体" w:cs="Times New Roman"/>
          <w:b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or </w:t>
      </w:r>
      <w:r>
        <w:rPr>
          <w:rFonts w:hint="eastAsia" w:ascii="Times New Roman" w:hAnsi="Times New Roman" w:eastAsia="等线" w:cs="Times New Roman"/>
          <w:b/>
          <w:bCs w:val="0"/>
          <w:i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emi-persistent and aperiodic CSI reporting</w:t>
      </w:r>
      <w:r>
        <w:rPr>
          <w:rFonts w:hint="eastAsia" w:ascii="Times New Roman" w:hAnsi="Times New Roman" w:cs="Times New Roman"/>
          <w:b/>
          <w:bCs w:val="0"/>
          <w:i/>
          <w:iCs/>
          <w:sz w:val="20"/>
          <w:szCs w:val="20"/>
          <w:lang w:val="en-US" w:eastAsia="zh-CN"/>
        </w:rPr>
        <w:t xml:space="preserve">, the starting point of </w:t>
      </w:r>
      <w:r>
        <w:rPr>
          <w:rFonts w:hint="eastAsia" w:ascii="Times New Roman" w:hAnsi="Times New Roman" w:eastAsia="等线"/>
          <w:b/>
          <w:bCs w:val="0"/>
          <w:i/>
          <w:iCs/>
          <w:sz w:val="20"/>
          <w:szCs w:val="20"/>
          <w:lang w:val="en-US" w:eastAsia="zh-CN"/>
        </w:rPr>
        <w:t xml:space="preserve">the switch delay from non-AI to AI is the point receiving activation indication by </w:t>
      </w:r>
      <w:r>
        <w:rPr>
          <w:rFonts w:hint="default" w:ascii="Times New Roman" w:hAnsi="Times New Roman" w:cs="Times New Roman"/>
          <w:b/>
          <w:bCs w:val="0"/>
          <w:i/>
          <w:iCs/>
          <w:sz w:val="20"/>
          <w:szCs w:val="20"/>
        </w:rPr>
        <w:t>MAC CE/DCI</w:t>
      </w:r>
    </w:p>
    <w:p w14:paraId="72F95D18">
      <w:pPr>
        <w:spacing w:after="180" w:line="240" w:lineRule="exact"/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</w:pP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P</w:t>
      </w:r>
      <w:r>
        <w:rPr>
          <w:rFonts w:ascii="Times New Roman" w:hAnsi="Times New Roman" w:eastAsia="等线"/>
          <w:b/>
          <w:i/>
          <w:sz w:val="20"/>
          <w:szCs w:val="20"/>
          <w:highlight w:val="none"/>
        </w:rPr>
        <w:t xml:space="preserve">roposal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2</w:t>
      </w:r>
      <w:r>
        <w:rPr>
          <w:rFonts w:ascii="Times New Roman" w:hAnsi="Times New Roman" w:eastAsia="等线"/>
          <w:b/>
          <w:i/>
          <w:sz w:val="20"/>
          <w:szCs w:val="20"/>
          <w:highlight w:val="none"/>
        </w:rPr>
        <w:t xml:space="preserve">: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for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 xml:space="preserve"> CSI prediction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 xml:space="preserve">,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 xml:space="preserve">it is proposed to use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intermediate KPI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 xml:space="preserve">, e.g. SGCS or NMSE,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 xml:space="preserve">as 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requirements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>/test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  <w:lang w:val="en-US" w:eastAsia="zh-CN"/>
        </w:rPr>
        <w:t>s</w:t>
      </w:r>
      <w:r>
        <w:rPr>
          <w:rFonts w:hint="eastAsia" w:ascii="Times New Roman" w:hAnsi="Times New Roman" w:eastAsia="等线"/>
          <w:b/>
          <w:i/>
          <w:sz w:val="20"/>
          <w:szCs w:val="20"/>
          <w:highlight w:val="none"/>
        </w:rPr>
        <w:t xml:space="preserve"> metrics for LCM.</w:t>
      </w:r>
    </w:p>
    <w:p w14:paraId="34E7AE95">
      <w:pPr>
        <w:spacing w:after="180" w:line="240" w:lineRule="exact"/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Proposal 3: for </w:t>
      </w:r>
      <w:r>
        <w:rPr>
          <w:rFonts w:hint="default" w:ascii="Times New Roman" w:hAnsi="Times New Roman" w:eastAsia="游明朝" w:cs="Times New Roman"/>
          <w:b/>
          <w:bCs/>
          <w:i/>
          <w:iCs/>
          <w:sz w:val="20"/>
          <w:szCs w:val="20"/>
          <w:lang w:eastAsia="zh-CN"/>
        </w:rPr>
        <w:t>AI/ML based beam management</w:t>
      </w:r>
      <w:r>
        <w:rPr>
          <w:rFonts w:hint="eastAsia" w:ascii="Times New Roman" w:hAnsi="Times New Roman" w:eastAsia="游明朝" w:cs="Times New Roman"/>
          <w:b/>
          <w:bCs/>
          <w:i/>
          <w:iCs/>
          <w:sz w:val="20"/>
          <w:szCs w:val="20"/>
          <w:lang w:val="en-US" w:eastAsia="zh-CN"/>
        </w:rPr>
        <w:t xml:space="preserve">, AI/ML based performance requirement should not be worse than the legacy measurement performance.    </w:t>
      </w:r>
    </w:p>
    <w:p w14:paraId="607B821C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</w:p>
    <w:p w14:paraId="76D74486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951F380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234039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 on Artificial Intelligence (AI)/Machine Learning (ML) for NR Air Interface</w:t>
      </w:r>
    </w:p>
    <w:p w14:paraId="2C8E11A6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243244, </w:t>
      </w:r>
      <w:r>
        <w:rPr>
          <w:rFonts w:hint="eastAsia" w:ascii="Times" w:hAnsi="Times" w:eastAsia="宋体"/>
          <w:b w:val="0"/>
          <w:sz w:val="20"/>
          <w:lang w:eastAsia="zh-CN"/>
        </w:rPr>
        <w:t>Revised WID on Artificial Intelligence (AI)/Machine Learning (ML) for NR Air Interface</w:t>
      </w:r>
    </w:p>
    <w:p w14:paraId="15D475DD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R4-2502856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the requirements for AI/ML air interfance, Qualcomm Incorporated</w:t>
      </w:r>
    </w:p>
    <w:p w14:paraId="4B1FD71B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R4-2420336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AI/ML air interface part 2, Ericsson</w:t>
      </w:r>
    </w:p>
    <w:p w14:paraId="2F914823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R4-2417212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requirements for AI/ML air interface</w:t>
      </w:r>
      <w:r>
        <w:rPr>
          <w:rFonts w:hint="eastAsia" w:ascii="Times" w:hAnsi="Times" w:eastAsia="宋体"/>
          <w:b w:val="0"/>
          <w:sz w:val="20"/>
          <w:lang w:eastAsia="zh-CN"/>
        </w:rPr>
        <w:t>, Qualcomm Incorporated</w:t>
      </w:r>
    </w:p>
    <w:p w14:paraId="3C3D9D5E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R5-24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7647, Discussion on handling of AI/ML in RAN5, China Mobile, AT&amp;T, CAICT, Ericsson, Huawei, MediaTek, Nokia, ZTE</w:t>
      </w:r>
    </w:p>
    <w:p w14:paraId="6004D2CA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>4323</w:t>
      </w:r>
      <w:r>
        <w:rPr>
          <w:rFonts w:hint="eastAsia" w:ascii="Times" w:hAnsi="Times" w:eastAsia="宋体"/>
          <w:b w:val="0"/>
          <w:sz w:val="20"/>
          <w:lang w:eastAsia="zh-CN"/>
        </w:rPr>
        <w:t>, WF on AI/ML, Qualcomm Incorporated</w:t>
      </w:r>
    </w:p>
    <w:p w14:paraId="22934856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R4-2410570, WF on AI/ML, Qualcomm Incorporated</w:t>
      </w:r>
    </w:p>
    <w:p w14:paraId="0FB9B0FB">
      <w:pPr>
        <w:pStyle w:val="12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R4-2406617, WF on AI/ML, Qualcomm Incorporated</w:t>
      </w:r>
    </w:p>
    <w:p w14:paraId="7607198C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[5] 3GPP TR 38.843, Study on Artificial Intelligence (AI)/Machine Learning (ML) for NR air interface </w:t>
      </w:r>
    </w:p>
    <w:p w14:paraId="37C6161F">
      <w:pPr>
        <w:pStyle w:val="12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2EF543F">
      <w:pPr>
        <w:pStyle w:val="12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1F93D58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2F89DF"/>
    <w:multiLevelType w:val="singleLevel"/>
    <w:tmpl w:val="9E2F89D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30E67D4"/>
    <w:multiLevelType w:val="singleLevel"/>
    <w:tmpl w:val="330E67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5B95CE5"/>
    <w:multiLevelType w:val="multilevel"/>
    <w:tmpl w:val="55B95CE5"/>
    <w:lvl w:ilvl="0" w:tentative="0">
      <w:start w:val="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6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7">
    <w:nsid w:val="65565676"/>
    <w:multiLevelType w:val="multilevel"/>
    <w:tmpl w:val="65565676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42510"/>
    <w:rsid w:val="03C030A6"/>
    <w:rsid w:val="053428A8"/>
    <w:rsid w:val="09405F3B"/>
    <w:rsid w:val="0A573618"/>
    <w:rsid w:val="0F4C27CC"/>
    <w:rsid w:val="0FA30B04"/>
    <w:rsid w:val="0FE50EF5"/>
    <w:rsid w:val="111346BF"/>
    <w:rsid w:val="11A46535"/>
    <w:rsid w:val="127D6382"/>
    <w:rsid w:val="142E3B2B"/>
    <w:rsid w:val="15685863"/>
    <w:rsid w:val="15C5068C"/>
    <w:rsid w:val="18B21538"/>
    <w:rsid w:val="198619D0"/>
    <w:rsid w:val="1A720A97"/>
    <w:rsid w:val="25C11700"/>
    <w:rsid w:val="2F3D15B9"/>
    <w:rsid w:val="31890F43"/>
    <w:rsid w:val="34453CA2"/>
    <w:rsid w:val="35D22FBC"/>
    <w:rsid w:val="393E203F"/>
    <w:rsid w:val="39C97388"/>
    <w:rsid w:val="3BFF4ED4"/>
    <w:rsid w:val="3DEF01B7"/>
    <w:rsid w:val="44715EBB"/>
    <w:rsid w:val="47E11C0A"/>
    <w:rsid w:val="4D3D03C8"/>
    <w:rsid w:val="5516017D"/>
    <w:rsid w:val="5DCC0D69"/>
    <w:rsid w:val="6AC458C1"/>
    <w:rsid w:val="6C8E3A48"/>
    <w:rsid w:val="6D205895"/>
    <w:rsid w:val="6F3538B4"/>
    <w:rsid w:val="6F984846"/>
    <w:rsid w:val="715440AF"/>
    <w:rsid w:val="724D5513"/>
    <w:rsid w:val="739A5EFA"/>
    <w:rsid w:val="753E3654"/>
    <w:rsid w:val="75886832"/>
    <w:rsid w:val="77D070AC"/>
    <w:rsid w:val="79D9262A"/>
    <w:rsid w:val="7C3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Date"/>
    <w:basedOn w:val="1"/>
    <w:next w:val="1"/>
    <w:unhideWhenUsed/>
    <w:qFormat/>
    <w:uiPriority w:val="99"/>
    <w:pPr>
      <w:ind w:left="100" w:leftChars="2500"/>
    </w:pPr>
  </w:style>
  <w:style w:type="paragraph" w:styleId="6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8">
    <w:name w:val="Table Grid"/>
    <w:basedOn w:val="7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1">
    <w:name w:val="Proposal"/>
    <w:basedOn w:val="4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">
    <w:name w:val="B1"/>
    <w:basedOn w:val="1"/>
    <w:qFormat/>
    <w:uiPriority w:val="0"/>
    <w:pPr>
      <w:ind w:left="568" w:hanging="284"/>
    </w:pPr>
  </w:style>
  <w:style w:type="paragraph" w:customStyle="1" w:styleId="14">
    <w:name w:val="B2"/>
    <w:basedOn w:val="1"/>
    <w:qFormat/>
    <w:uiPriority w:val="0"/>
    <w:pPr>
      <w:ind w:left="851" w:hanging="284"/>
    </w:pPr>
  </w:style>
  <w:style w:type="paragraph" w:customStyle="1" w:styleId="15">
    <w:name w:val="B3"/>
    <w:basedOn w:val="1"/>
    <w:qFormat/>
    <w:uiPriority w:val="0"/>
    <w:pPr>
      <w:ind w:left="1135" w:hanging="284"/>
    </w:pPr>
  </w:style>
  <w:style w:type="paragraph" w:customStyle="1" w:styleId="16">
    <w:name w:val="Agreement"/>
    <w:basedOn w:val="1"/>
    <w:next w:val="17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17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 Chen_CMCC</cp:lastModifiedBy>
  <dcterms:modified xsi:type="dcterms:W3CDTF">2025-03-28T07:36:02Z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6869B0C1A34749A384ADE3AAD7A61322</vt:lpwstr>
  </property>
</Properties>
</file>